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8E50F" w14:textId="77777777" w:rsidR="00B378B2" w:rsidRPr="00B378B2" w:rsidRDefault="00B378B2" w:rsidP="00B378B2">
      <w:pPr>
        <w:spacing w:line="240" w:lineRule="auto"/>
        <w:jc w:val="both"/>
      </w:pPr>
      <w:r w:rsidRPr="00B378B2">
        <w:rPr>
          <w:b/>
          <w:bCs/>
        </w:rPr>
        <w:t>23. PROTOCOLO MALTRATO ESCOLAR ENTRE PARES</w:t>
      </w:r>
    </w:p>
    <w:p w14:paraId="1B1829D9" w14:textId="77777777" w:rsidR="00B378B2" w:rsidRPr="00B378B2" w:rsidRDefault="00B378B2" w:rsidP="00B378B2">
      <w:pPr>
        <w:spacing w:line="240" w:lineRule="auto"/>
        <w:jc w:val="both"/>
      </w:pPr>
      <w:r w:rsidRPr="00B378B2">
        <w:t>El maltrato escolar entre pares es una problemática que afecta tanto el bienestar físico como emocional de los estudiantes, y puede tener consecuencias duraderas en su desarrollo académico, social y personal. </w:t>
      </w:r>
    </w:p>
    <w:p w14:paraId="090A228E" w14:textId="77777777" w:rsidR="00B378B2" w:rsidRPr="00B378B2" w:rsidRDefault="00B378B2" w:rsidP="00B378B2">
      <w:pPr>
        <w:spacing w:line="240" w:lineRule="auto"/>
        <w:jc w:val="both"/>
      </w:pPr>
      <w:r w:rsidRPr="00B378B2">
        <w:t xml:space="preserve">El Ministerio de Educación de Chile ha establecido normativas claras y principios fundamentales para prevenir, detectar y resolver situaciones de maltrato entre estudiantes. El Reglamento Interno de los Establecimientos Educacionales, en concordancia con la Ley </w:t>
      </w:r>
      <w:proofErr w:type="spellStart"/>
      <w:r w:rsidRPr="00B378B2">
        <w:t>N°</w:t>
      </w:r>
      <w:proofErr w:type="spellEnd"/>
      <w:r w:rsidRPr="00B378B2">
        <w:t xml:space="preserve"> 20.370 de la Ley General de Educación (LGE), establece que todas las instituciones educativas deben contar con mecanismos eficaces para abordar la violencia escolar, garantizando un entorno donde se promueva la no discriminación y el respeto a los derechos de los estudiantes.</w:t>
      </w:r>
    </w:p>
    <w:p w14:paraId="64DC6851" w14:textId="77777777" w:rsidR="00B378B2" w:rsidRPr="00B378B2" w:rsidRDefault="00B378B2" w:rsidP="00B378B2">
      <w:pPr>
        <w:spacing w:line="240" w:lineRule="auto"/>
        <w:jc w:val="both"/>
      </w:pPr>
      <w:r w:rsidRPr="00B378B2">
        <w:t xml:space="preserve">En este marco, la Ley </w:t>
      </w:r>
      <w:proofErr w:type="spellStart"/>
      <w:r w:rsidRPr="00B378B2">
        <w:t>N°</w:t>
      </w:r>
      <w:proofErr w:type="spellEnd"/>
      <w:r w:rsidRPr="00B378B2">
        <w:t xml:space="preserve"> 20.609 (Ley Zamudio) y la Convención sobre los Derechos del Niño de las Naciones Unidas destacan la obligación de los establecimientos educativos de prevenir y erradicar cualquier forma de violencia, incluyendo el acoso escolar (</w:t>
      </w:r>
      <w:proofErr w:type="spellStart"/>
      <w:proofErr w:type="gramStart"/>
      <w:r w:rsidRPr="00B378B2">
        <w:t>bullying</w:t>
      </w:r>
      <w:proofErr w:type="spellEnd"/>
      <w:proofErr w:type="gramEnd"/>
      <w:r w:rsidRPr="00B378B2">
        <w:t>). Según estas normativas, es responsabilidad de la comunidad educativa garantizar la seguridad física y emocional de todos los estudiantes, actuando de manera pronta y decidida frente a cualquier incidente de maltrato entre pares.</w:t>
      </w:r>
    </w:p>
    <w:tbl>
      <w:tblPr>
        <w:tblW w:w="9640" w:type="dxa"/>
        <w:tblInd w:w="-431" w:type="dxa"/>
        <w:tblCellMar>
          <w:top w:w="15" w:type="dxa"/>
          <w:left w:w="15" w:type="dxa"/>
          <w:bottom w:w="15" w:type="dxa"/>
          <w:right w:w="15" w:type="dxa"/>
        </w:tblCellMar>
        <w:tblLook w:val="04A0" w:firstRow="1" w:lastRow="0" w:firstColumn="1" w:lastColumn="0" w:noHBand="0" w:noVBand="1"/>
      </w:tblPr>
      <w:tblGrid>
        <w:gridCol w:w="1926"/>
        <w:gridCol w:w="3603"/>
        <w:gridCol w:w="2578"/>
        <w:gridCol w:w="1533"/>
      </w:tblGrid>
      <w:tr w:rsidR="00B378B2" w:rsidRPr="00B378B2" w14:paraId="77E4738D" w14:textId="77777777" w:rsidTr="00B378B2">
        <w:tc>
          <w:tcPr>
            <w:tcW w:w="1926" w:type="dxa"/>
            <w:tcBorders>
              <w:top w:val="single" w:sz="4" w:space="0" w:color="000000"/>
              <w:left w:val="single" w:sz="4" w:space="0" w:color="000000"/>
              <w:bottom w:val="single" w:sz="4" w:space="0" w:color="000000"/>
              <w:right w:val="single" w:sz="4" w:space="0" w:color="000000"/>
            </w:tcBorders>
            <w:shd w:val="clear" w:color="auto" w:fill="83CAEB"/>
            <w:tcMar>
              <w:top w:w="0" w:type="dxa"/>
              <w:left w:w="108" w:type="dxa"/>
              <w:bottom w:w="0" w:type="dxa"/>
              <w:right w:w="108" w:type="dxa"/>
            </w:tcMar>
            <w:hideMark/>
          </w:tcPr>
          <w:p w14:paraId="769AD73F" w14:textId="77777777" w:rsidR="00B378B2" w:rsidRPr="00B378B2" w:rsidRDefault="00B378B2" w:rsidP="00B378B2">
            <w:pPr>
              <w:spacing w:after="0" w:line="0" w:lineRule="atLeast"/>
              <w:jc w:val="both"/>
              <w:rPr>
                <w:sz w:val="22"/>
                <w:szCs w:val="22"/>
              </w:rPr>
            </w:pPr>
          </w:p>
        </w:tc>
        <w:tc>
          <w:tcPr>
            <w:tcW w:w="3603" w:type="dxa"/>
            <w:tcBorders>
              <w:top w:val="single" w:sz="4" w:space="0" w:color="000000"/>
              <w:left w:val="single" w:sz="4" w:space="0" w:color="000000"/>
              <w:bottom w:val="single" w:sz="4" w:space="0" w:color="000000"/>
              <w:right w:val="single" w:sz="4" w:space="0" w:color="000000"/>
            </w:tcBorders>
            <w:shd w:val="clear" w:color="auto" w:fill="83CAEB"/>
            <w:tcMar>
              <w:top w:w="0" w:type="dxa"/>
              <w:left w:w="108" w:type="dxa"/>
              <w:bottom w:w="0" w:type="dxa"/>
              <w:right w:w="108" w:type="dxa"/>
            </w:tcMar>
            <w:hideMark/>
          </w:tcPr>
          <w:p w14:paraId="2D407457" w14:textId="77777777" w:rsidR="00B378B2" w:rsidRPr="00B378B2" w:rsidRDefault="00B378B2" w:rsidP="00B378B2">
            <w:pPr>
              <w:spacing w:after="0" w:line="0" w:lineRule="atLeast"/>
              <w:jc w:val="both"/>
              <w:rPr>
                <w:sz w:val="22"/>
                <w:szCs w:val="22"/>
              </w:rPr>
            </w:pPr>
            <w:r w:rsidRPr="00B378B2">
              <w:rPr>
                <w:b/>
                <w:bCs/>
                <w:sz w:val="22"/>
                <w:szCs w:val="22"/>
              </w:rPr>
              <w:t>Procedimiento</w:t>
            </w:r>
          </w:p>
        </w:tc>
        <w:tc>
          <w:tcPr>
            <w:tcW w:w="2578" w:type="dxa"/>
            <w:tcBorders>
              <w:top w:val="single" w:sz="4" w:space="0" w:color="000000"/>
              <w:left w:val="single" w:sz="4" w:space="0" w:color="000000"/>
              <w:bottom w:val="single" w:sz="4" w:space="0" w:color="000000"/>
              <w:right w:val="single" w:sz="4" w:space="0" w:color="000000"/>
            </w:tcBorders>
            <w:shd w:val="clear" w:color="auto" w:fill="83CAEB"/>
            <w:tcMar>
              <w:top w:w="0" w:type="dxa"/>
              <w:left w:w="108" w:type="dxa"/>
              <w:bottom w:w="0" w:type="dxa"/>
              <w:right w:w="108" w:type="dxa"/>
            </w:tcMar>
            <w:hideMark/>
          </w:tcPr>
          <w:p w14:paraId="1CBBE92D" w14:textId="77777777" w:rsidR="00B378B2" w:rsidRPr="00B378B2" w:rsidRDefault="00B378B2" w:rsidP="00B378B2">
            <w:pPr>
              <w:spacing w:after="0" w:line="0" w:lineRule="atLeast"/>
              <w:jc w:val="both"/>
              <w:rPr>
                <w:sz w:val="22"/>
                <w:szCs w:val="22"/>
              </w:rPr>
            </w:pPr>
            <w:r w:rsidRPr="00B378B2">
              <w:rPr>
                <w:b/>
                <w:bCs/>
                <w:sz w:val="22"/>
                <w:szCs w:val="22"/>
              </w:rPr>
              <w:t>Responsable</w:t>
            </w:r>
          </w:p>
        </w:tc>
        <w:tc>
          <w:tcPr>
            <w:tcW w:w="1533" w:type="dxa"/>
            <w:tcBorders>
              <w:top w:val="single" w:sz="4" w:space="0" w:color="000000"/>
              <w:left w:val="single" w:sz="4" w:space="0" w:color="000000"/>
              <w:bottom w:val="single" w:sz="4" w:space="0" w:color="000000"/>
              <w:right w:val="single" w:sz="4" w:space="0" w:color="000000"/>
            </w:tcBorders>
            <w:shd w:val="clear" w:color="auto" w:fill="83CAEB"/>
            <w:tcMar>
              <w:top w:w="0" w:type="dxa"/>
              <w:left w:w="108" w:type="dxa"/>
              <w:bottom w:w="0" w:type="dxa"/>
              <w:right w:w="108" w:type="dxa"/>
            </w:tcMar>
            <w:hideMark/>
          </w:tcPr>
          <w:p w14:paraId="6FED2655" w14:textId="77777777" w:rsidR="00B378B2" w:rsidRPr="00B378B2" w:rsidRDefault="00B378B2" w:rsidP="00B378B2">
            <w:pPr>
              <w:spacing w:after="0" w:line="0" w:lineRule="atLeast"/>
              <w:jc w:val="both"/>
              <w:rPr>
                <w:sz w:val="22"/>
                <w:szCs w:val="22"/>
              </w:rPr>
            </w:pPr>
            <w:r w:rsidRPr="00B378B2">
              <w:rPr>
                <w:b/>
                <w:bCs/>
                <w:sz w:val="22"/>
                <w:szCs w:val="22"/>
              </w:rPr>
              <w:t>Tiempo</w:t>
            </w:r>
          </w:p>
        </w:tc>
      </w:tr>
      <w:tr w:rsidR="00B378B2" w:rsidRPr="00B378B2" w14:paraId="739F8530" w14:textId="77777777" w:rsidTr="00B378B2">
        <w:trPr>
          <w:trHeight w:val="1624"/>
        </w:trPr>
        <w:tc>
          <w:tcPr>
            <w:tcW w:w="19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1DEFD" w14:textId="77777777" w:rsidR="00B378B2" w:rsidRPr="00B378B2" w:rsidRDefault="00B378B2" w:rsidP="00B378B2">
            <w:pPr>
              <w:spacing w:after="0" w:line="0" w:lineRule="atLeast"/>
              <w:jc w:val="both"/>
              <w:rPr>
                <w:sz w:val="22"/>
                <w:szCs w:val="22"/>
              </w:rPr>
            </w:pPr>
            <w:r w:rsidRPr="00B378B2">
              <w:rPr>
                <w:sz w:val="22"/>
                <w:szCs w:val="22"/>
              </w:rPr>
              <w:br/>
            </w:r>
            <w:r w:rsidRPr="00B378B2">
              <w:rPr>
                <w:sz w:val="22"/>
                <w:szCs w:val="22"/>
              </w:rPr>
              <w:br/>
            </w:r>
            <w:r w:rsidRPr="00B378B2">
              <w:rPr>
                <w:sz w:val="22"/>
                <w:szCs w:val="22"/>
              </w:rPr>
              <w:br/>
            </w:r>
            <w:r w:rsidRPr="00B378B2">
              <w:rPr>
                <w:sz w:val="22"/>
                <w:szCs w:val="22"/>
              </w:rPr>
              <w:br/>
            </w:r>
            <w:r w:rsidRPr="00B378B2">
              <w:rPr>
                <w:sz w:val="22"/>
                <w:szCs w:val="22"/>
              </w:rPr>
              <w:br/>
            </w:r>
          </w:p>
          <w:p w14:paraId="1E443FA4" w14:textId="77777777" w:rsidR="00B378B2" w:rsidRPr="00B378B2" w:rsidRDefault="00B378B2" w:rsidP="00B378B2">
            <w:pPr>
              <w:spacing w:after="0" w:line="0" w:lineRule="atLeast"/>
              <w:jc w:val="both"/>
              <w:rPr>
                <w:sz w:val="22"/>
                <w:szCs w:val="22"/>
              </w:rPr>
            </w:pPr>
            <w:r w:rsidRPr="00B378B2">
              <w:rPr>
                <w:b/>
                <w:bCs/>
                <w:sz w:val="22"/>
                <w:szCs w:val="22"/>
              </w:rPr>
              <w:t>Activación de protocolo</w:t>
            </w:r>
          </w:p>
        </w:tc>
        <w:tc>
          <w:tcPr>
            <w:tcW w:w="3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A451B" w14:textId="77777777" w:rsidR="00B378B2" w:rsidRPr="00B378B2" w:rsidRDefault="00B378B2" w:rsidP="00B378B2">
            <w:pPr>
              <w:spacing w:after="0" w:line="0" w:lineRule="atLeast"/>
              <w:jc w:val="both"/>
              <w:rPr>
                <w:sz w:val="22"/>
                <w:szCs w:val="22"/>
              </w:rPr>
            </w:pPr>
            <w:r w:rsidRPr="00B378B2">
              <w:rPr>
                <w:sz w:val="22"/>
                <w:szCs w:val="22"/>
              </w:rPr>
              <w:t>Quien reciba relato o presencie un episodio de violencia escolar, deberá dar aviso al encargado de convivencia educativa, para adoptar medidas de resguardo y protección inmediata.</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9DE13" w14:textId="77777777" w:rsidR="00B378B2" w:rsidRPr="00B378B2" w:rsidRDefault="00B378B2" w:rsidP="00B378B2">
            <w:pPr>
              <w:spacing w:after="0" w:line="0" w:lineRule="atLeast"/>
              <w:jc w:val="both"/>
              <w:rPr>
                <w:sz w:val="22"/>
                <w:szCs w:val="22"/>
              </w:rPr>
            </w:pPr>
            <w:r w:rsidRPr="00B378B2">
              <w:rPr>
                <w:sz w:val="22"/>
                <w:szCs w:val="22"/>
              </w:rPr>
              <w:t>Funcionario/coordinador de ciclo/encargado de convivencia educativa</w:t>
            </w:r>
          </w:p>
          <w:p w14:paraId="4BD93A65" w14:textId="77777777" w:rsidR="00B378B2" w:rsidRPr="00B378B2" w:rsidRDefault="00B378B2" w:rsidP="00B378B2">
            <w:pPr>
              <w:spacing w:after="0" w:line="0" w:lineRule="atLeast"/>
              <w:jc w:val="both"/>
              <w:rPr>
                <w:sz w:val="22"/>
                <w:szCs w:val="22"/>
              </w:rPr>
            </w:pP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21712" w14:textId="77777777" w:rsidR="00B378B2" w:rsidRPr="00B378B2" w:rsidRDefault="00B378B2" w:rsidP="00B378B2">
            <w:pPr>
              <w:spacing w:after="0" w:line="0" w:lineRule="atLeast"/>
              <w:jc w:val="both"/>
              <w:rPr>
                <w:sz w:val="22"/>
                <w:szCs w:val="22"/>
              </w:rPr>
            </w:pPr>
            <w:r w:rsidRPr="00B378B2">
              <w:rPr>
                <w:sz w:val="22"/>
                <w:szCs w:val="22"/>
              </w:rPr>
              <w:t>Inmediato</w:t>
            </w:r>
          </w:p>
          <w:p w14:paraId="505BFA56" w14:textId="77777777" w:rsidR="00B378B2" w:rsidRPr="00B378B2" w:rsidRDefault="00B378B2" w:rsidP="00B378B2">
            <w:pPr>
              <w:spacing w:after="0" w:line="0" w:lineRule="atLeast"/>
              <w:jc w:val="both"/>
              <w:rPr>
                <w:sz w:val="22"/>
                <w:szCs w:val="22"/>
              </w:rPr>
            </w:pPr>
            <w:r w:rsidRPr="00B378B2">
              <w:rPr>
                <w:sz w:val="22"/>
                <w:szCs w:val="22"/>
              </w:rPr>
              <w:br/>
            </w:r>
          </w:p>
        </w:tc>
      </w:tr>
      <w:tr w:rsidR="00B378B2" w:rsidRPr="00B378B2" w14:paraId="5C4AF846" w14:textId="77777777" w:rsidTr="00B378B2">
        <w:tc>
          <w:tcPr>
            <w:tcW w:w="1926" w:type="dxa"/>
            <w:vMerge/>
            <w:tcBorders>
              <w:top w:val="single" w:sz="4" w:space="0" w:color="000000"/>
              <w:left w:val="single" w:sz="4" w:space="0" w:color="000000"/>
              <w:bottom w:val="single" w:sz="4" w:space="0" w:color="000000"/>
              <w:right w:val="single" w:sz="4" w:space="0" w:color="000000"/>
            </w:tcBorders>
            <w:vAlign w:val="center"/>
            <w:hideMark/>
          </w:tcPr>
          <w:p w14:paraId="49C57B5F" w14:textId="77777777" w:rsidR="00B378B2" w:rsidRPr="00B378B2" w:rsidRDefault="00B378B2" w:rsidP="00B378B2">
            <w:pPr>
              <w:spacing w:after="0" w:line="0" w:lineRule="atLeast"/>
              <w:jc w:val="both"/>
              <w:rPr>
                <w:sz w:val="22"/>
                <w:szCs w:val="22"/>
              </w:rPr>
            </w:pPr>
          </w:p>
        </w:tc>
        <w:tc>
          <w:tcPr>
            <w:tcW w:w="3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ACBF2" w14:textId="77777777" w:rsidR="00B378B2" w:rsidRPr="00B378B2" w:rsidRDefault="00B378B2" w:rsidP="00B378B2">
            <w:pPr>
              <w:spacing w:after="0" w:line="0" w:lineRule="atLeast"/>
              <w:jc w:val="both"/>
              <w:rPr>
                <w:sz w:val="22"/>
                <w:szCs w:val="22"/>
              </w:rPr>
            </w:pPr>
            <w:r w:rsidRPr="00B378B2">
              <w:rPr>
                <w:sz w:val="22"/>
                <w:szCs w:val="22"/>
              </w:rPr>
              <w:t>Informar a convivencia educativa para contener emocionalmente al estudiante.</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ED3FC" w14:textId="77777777" w:rsidR="00B378B2" w:rsidRPr="00B378B2" w:rsidRDefault="00B378B2" w:rsidP="00B378B2">
            <w:pPr>
              <w:spacing w:after="0" w:line="0" w:lineRule="atLeast"/>
              <w:jc w:val="both"/>
              <w:rPr>
                <w:sz w:val="22"/>
                <w:szCs w:val="22"/>
              </w:rPr>
            </w:pPr>
            <w:r w:rsidRPr="00B378B2">
              <w:rPr>
                <w:sz w:val="22"/>
                <w:szCs w:val="22"/>
              </w:rPr>
              <w:t>Funcionario</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758EB" w14:textId="77777777" w:rsidR="00B378B2" w:rsidRPr="00B378B2" w:rsidRDefault="00B378B2" w:rsidP="00B378B2">
            <w:pPr>
              <w:spacing w:after="0" w:line="0" w:lineRule="atLeast"/>
              <w:jc w:val="both"/>
              <w:rPr>
                <w:sz w:val="22"/>
                <w:szCs w:val="22"/>
              </w:rPr>
            </w:pPr>
            <w:r w:rsidRPr="00B378B2">
              <w:rPr>
                <w:sz w:val="22"/>
                <w:szCs w:val="22"/>
              </w:rPr>
              <w:t>Inmediato</w:t>
            </w:r>
          </w:p>
        </w:tc>
      </w:tr>
      <w:tr w:rsidR="00B378B2" w:rsidRPr="00B378B2" w14:paraId="78041337" w14:textId="77777777" w:rsidTr="00B378B2">
        <w:tc>
          <w:tcPr>
            <w:tcW w:w="1926" w:type="dxa"/>
            <w:vMerge/>
            <w:tcBorders>
              <w:top w:val="single" w:sz="4" w:space="0" w:color="000000"/>
              <w:left w:val="single" w:sz="4" w:space="0" w:color="000000"/>
              <w:bottom w:val="single" w:sz="4" w:space="0" w:color="000000"/>
              <w:right w:val="single" w:sz="4" w:space="0" w:color="000000"/>
            </w:tcBorders>
            <w:vAlign w:val="center"/>
            <w:hideMark/>
          </w:tcPr>
          <w:p w14:paraId="43238B84" w14:textId="77777777" w:rsidR="00B378B2" w:rsidRPr="00B378B2" w:rsidRDefault="00B378B2" w:rsidP="00B378B2">
            <w:pPr>
              <w:spacing w:after="0" w:line="0" w:lineRule="atLeast"/>
              <w:jc w:val="both"/>
              <w:rPr>
                <w:sz w:val="22"/>
                <w:szCs w:val="22"/>
              </w:rPr>
            </w:pPr>
          </w:p>
        </w:tc>
        <w:tc>
          <w:tcPr>
            <w:tcW w:w="3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C2AFB" w14:textId="77777777" w:rsidR="00B378B2" w:rsidRPr="00B378B2" w:rsidRDefault="00B378B2" w:rsidP="00B378B2">
            <w:pPr>
              <w:spacing w:after="0" w:line="0" w:lineRule="atLeast"/>
              <w:jc w:val="both"/>
              <w:rPr>
                <w:sz w:val="22"/>
                <w:szCs w:val="22"/>
              </w:rPr>
            </w:pPr>
            <w:r w:rsidRPr="00B378B2">
              <w:rPr>
                <w:sz w:val="22"/>
                <w:szCs w:val="22"/>
              </w:rPr>
              <w:t>Al recibir la denuncia de maltrato y/o violencia entre pares, se abrirá la carpeta investigativa por la encargada de convivencia escolar, donde quedarán registradas las entrevistas y procedimientos.</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9CBD4" w14:textId="77777777" w:rsidR="00B378B2" w:rsidRPr="00B378B2" w:rsidRDefault="00B378B2" w:rsidP="00B378B2">
            <w:pPr>
              <w:spacing w:after="0" w:line="0" w:lineRule="atLeast"/>
              <w:jc w:val="both"/>
              <w:rPr>
                <w:sz w:val="22"/>
                <w:szCs w:val="22"/>
              </w:rPr>
            </w:pPr>
            <w:r w:rsidRPr="00B378B2">
              <w:rPr>
                <w:sz w:val="22"/>
                <w:szCs w:val="22"/>
              </w:rPr>
              <w:t>Convivencia Educativa</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D6C65" w14:textId="77777777" w:rsidR="00B378B2" w:rsidRPr="00B378B2" w:rsidRDefault="00B378B2" w:rsidP="00B378B2">
            <w:pPr>
              <w:spacing w:after="0" w:line="0" w:lineRule="atLeast"/>
              <w:jc w:val="both"/>
              <w:rPr>
                <w:sz w:val="22"/>
                <w:szCs w:val="22"/>
              </w:rPr>
            </w:pPr>
            <w:r w:rsidRPr="00B378B2">
              <w:rPr>
                <w:sz w:val="22"/>
                <w:szCs w:val="22"/>
              </w:rPr>
              <w:t>Inmediato</w:t>
            </w:r>
          </w:p>
        </w:tc>
      </w:tr>
      <w:tr w:rsidR="00B378B2" w:rsidRPr="00B378B2" w14:paraId="304FC33F" w14:textId="77777777" w:rsidTr="00B378B2">
        <w:tc>
          <w:tcPr>
            <w:tcW w:w="1926" w:type="dxa"/>
            <w:vMerge/>
            <w:tcBorders>
              <w:top w:val="single" w:sz="4" w:space="0" w:color="000000"/>
              <w:left w:val="single" w:sz="4" w:space="0" w:color="000000"/>
              <w:bottom w:val="single" w:sz="4" w:space="0" w:color="000000"/>
              <w:right w:val="single" w:sz="4" w:space="0" w:color="000000"/>
            </w:tcBorders>
            <w:vAlign w:val="center"/>
            <w:hideMark/>
          </w:tcPr>
          <w:p w14:paraId="4F620B7B" w14:textId="77777777" w:rsidR="00B378B2" w:rsidRPr="00B378B2" w:rsidRDefault="00B378B2" w:rsidP="00B378B2">
            <w:pPr>
              <w:spacing w:after="0" w:line="0" w:lineRule="atLeast"/>
              <w:jc w:val="both"/>
              <w:rPr>
                <w:sz w:val="22"/>
                <w:szCs w:val="22"/>
              </w:rPr>
            </w:pPr>
          </w:p>
        </w:tc>
        <w:tc>
          <w:tcPr>
            <w:tcW w:w="3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F5A1A" w14:textId="77777777" w:rsidR="00B378B2" w:rsidRPr="00B378B2" w:rsidRDefault="00B378B2" w:rsidP="00B378B2">
            <w:pPr>
              <w:spacing w:after="0" w:line="0" w:lineRule="atLeast"/>
              <w:jc w:val="both"/>
              <w:rPr>
                <w:sz w:val="22"/>
                <w:szCs w:val="22"/>
              </w:rPr>
            </w:pPr>
            <w:r w:rsidRPr="00B378B2">
              <w:rPr>
                <w:sz w:val="22"/>
                <w:szCs w:val="22"/>
              </w:rPr>
              <w:t>Informar de manera inmediata al apoderado.</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09148" w14:textId="77777777" w:rsidR="00B378B2" w:rsidRPr="00B378B2" w:rsidRDefault="00B378B2" w:rsidP="00B378B2">
            <w:pPr>
              <w:spacing w:after="0" w:line="0" w:lineRule="atLeast"/>
              <w:jc w:val="both"/>
              <w:rPr>
                <w:sz w:val="22"/>
                <w:szCs w:val="22"/>
              </w:rPr>
            </w:pPr>
            <w:r w:rsidRPr="00B378B2">
              <w:rPr>
                <w:sz w:val="22"/>
                <w:szCs w:val="22"/>
              </w:rPr>
              <w:t>Convivencia Educativa</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2381E" w14:textId="77777777" w:rsidR="00B378B2" w:rsidRPr="00B378B2" w:rsidRDefault="00B378B2" w:rsidP="00B378B2">
            <w:pPr>
              <w:spacing w:after="0" w:line="0" w:lineRule="atLeast"/>
              <w:jc w:val="both"/>
              <w:rPr>
                <w:sz w:val="22"/>
                <w:szCs w:val="22"/>
              </w:rPr>
            </w:pPr>
            <w:r w:rsidRPr="00B378B2">
              <w:rPr>
                <w:sz w:val="22"/>
                <w:szCs w:val="22"/>
              </w:rPr>
              <w:t>Inmediato</w:t>
            </w:r>
          </w:p>
        </w:tc>
      </w:tr>
      <w:tr w:rsidR="00B378B2" w:rsidRPr="00B378B2" w14:paraId="69D06712" w14:textId="77777777" w:rsidTr="00B378B2">
        <w:tc>
          <w:tcPr>
            <w:tcW w:w="1926" w:type="dxa"/>
            <w:vMerge/>
            <w:tcBorders>
              <w:top w:val="single" w:sz="4" w:space="0" w:color="000000"/>
              <w:left w:val="single" w:sz="4" w:space="0" w:color="000000"/>
              <w:bottom w:val="single" w:sz="4" w:space="0" w:color="000000"/>
              <w:right w:val="single" w:sz="4" w:space="0" w:color="000000"/>
            </w:tcBorders>
            <w:vAlign w:val="center"/>
            <w:hideMark/>
          </w:tcPr>
          <w:p w14:paraId="7F021489" w14:textId="77777777" w:rsidR="00B378B2" w:rsidRPr="00B378B2" w:rsidRDefault="00B378B2" w:rsidP="00B378B2">
            <w:pPr>
              <w:spacing w:after="0" w:line="0" w:lineRule="atLeast"/>
              <w:jc w:val="both"/>
              <w:rPr>
                <w:sz w:val="22"/>
                <w:szCs w:val="22"/>
              </w:rPr>
            </w:pPr>
          </w:p>
        </w:tc>
        <w:tc>
          <w:tcPr>
            <w:tcW w:w="3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AC502" w14:textId="77777777" w:rsidR="00B378B2" w:rsidRPr="00B378B2" w:rsidRDefault="00B378B2" w:rsidP="00B378B2">
            <w:pPr>
              <w:spacing w:after="0" w:line="0" w:lineRule="atLeast"/>
              <w:jc w:val="both"/>
              <w:rPr>
                <w:sz w:val="22"/>
                <w:szCs w:val="22"/>
              </w:rPr>
            </w:pPr>
            <w:r w:rsidRPr="00B378B2">
              <w:rPr>
                <w:sz w:val="22"/>
                <w:szCs w:val="22"/>
              </w:rPr>
              <w:t>En caso de tratarse de un caso constitutivo de delito se debe realizar la denuncia respectiva</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48D4F" w14:textId="77777777" w:rsidR="00B378B2" w:rsidRPr="00B378B2" w:rsidRDefault="00B378B2" w:rsidP="00B378B2">
            <w:pPr>
              <w:spacing w:after="0" w:line="0" w:lineRule="atLeast"/>
              <w:jc w:val="both"/>
              <w:rPr>
                <w:sz w:val="22"/>
                <w:szCs w:val="22"/>
              </w:rPr>
            </w:pPr>
            <w:r w:rsidRPr="00B378B2">
              <w:rPr>
                <w:sz w:val="22"/>
                <w:szCs w:val="22"/>
              </w:rPr>
              <w:t>Director/a o un representante</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DD04A" w14:textId="77777777" w:rsidR="00B378B2" w:rsidRPr="00B378B2" w:rsidRDefault="00B378B2" w:rsidP="00B378B2">
            <w:pPr>
              <w:spacing w:after="0" w:line="0" w:lineRule="atLeast"/>
              <w:jc w:val="both"/>
              <w:rPr>
                <w:sz w:val="22"/>
                <w:szCs w:val="22"/>
              </w:rPr>
            </w:pPr>
            <w:r w:rsidRPr="00B378B2">
              <w:rPr>
                <w:sz w:val="22"/>
                <w:szCs w:val="22"/>
              </w:rPr>
              <w:t>Dentro de las 24 horas de tener conocimiento del hecho</w:t>
            </w:r>
          </w:p>
          <w:p w14:paraId="7EDC7062" w14:textId="77777777" w:rsidR="00B378B2" w:rsidRPr="00B378B2" w:rsidRDefault="00B378B2" w:rsidP="00B378B2">
            <w:pPr>
              <w:spacing w:after="0" w:line="0" w:lineRule="atLeast"/>
              <w:jc w:val="both"/>
              <w:rPr>
                <w:sz w:val="22"/>
                <w:szCs w:val="22"/>
              </w:rPr>
            </w:pPr>
            <w:r w:rsidRPr="00B378B2">
              <w:rPr>
                <w:sz w:val="22"/>
                <w:szCs w:val="22"/>
              </w:rPr>
              <w:br/>
            </w:r>
          </w:p>
        </w:tc>
      </w:tr>
      <w:tr w:rsidR="00B378B2" w:rsidRPr="00B378B2" w14:paraId="4DA1F17F" w14:textId="77777777" w:rsidTr="00B378B2">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F06F6" w14:textId="77777777" w:rsidR="00B378B2" w:rsidRPr="00B378B2" w:rsidRDefault="00B378B2" w:rsidP="00B378B2">
            <w:pPr>
              <w:spacing w:after="0" w:line="0" w:lineRule="atLeast"/>
              <w:jc w:val="both"/>
              <w:rPr>
                <w:sz w:val="22"/>
                <w:szCs w:val="22"/>
              </w:rPr>
            </w:pPr>
            <w:r w:rsidRPr="00B378B2">
              <w:rPr>
                <w:sz w:val="22"/>
                <w:szCs w:val="22"/>
              </w:rPr>
              <w:lastRenderedPageBreak/>
              <w:br/>
            </w:r>
            <w:r w:rsidRPr="00B378B2">
              <w:rPr>
                <w:sz w:val="22"/>
                <w:szCs w:val="22"/>
              </w:rPr>
              <w:br/>
            </w:r>
            <w:r w:rsidRPr="00B378B2">
              <w:rPr>
                <w:sz w:val="22"/>
                <w:szCs w:val="22"/>
              </w:rPr>
              <w:br/>
            </w:r>
          </w:p>
          <w:p w14:paraId="0A8AFB04" w14:textId="77777777" w:rsidR="00B378B2" w:rsidRPr="00B378B2" w:rsidRDefault="00B378B2" w:rsidP="00B378B2">
            <w:pPr>
              <w:spacing w:after="0" w:line="0" w:lineRule="atLeast"/>
              <w:jc w:val="both"/>
              <w:rPr>
                <w:sz w:val="22"/>
                <w:szCs w:val="22"/>
              </w:rPr>
            </w:pPr>
            <w:r w:rsidRPr="00B378B2">
              <w:rPr>
                <w:b/>
                <w:bCs/>
                <w:sz w:val="22"/>
                <w:szCs w:val="22"/>
              </w:rPr>
              <w:t>Investigación</w:t>
            </w:r>
          </w:p>
        </w:tc>
        <w:tc>
          <w:tcPr>
            <w:tcW w:w="3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C6E72" w14:textId="77777777" w:rsidR="00B378B2" w:rsidRPr="00B378B2" w:rsidRDefault="00B378B2" w:rsidP="00B378B2">
            <w:pPr>
              <w:spacing w:after="0" w:line="0" w:lineRule="atLeast"/>
              <w:jc w:val="both"/>
              <w:rPr>
                <w:sz w:val="22"/>
                <w:szCs w:val="22"/>
              </w:rPr>
            </w:pPr>
            <w:r w:rsidRPr="00B378B2">
              <w:rPr>
                <w:sz w:val="22"/>
                <w:szCs w:val="22"/>
              </w:rPr>
              <w:t>Durante el proceso se llevarán a cabo las siguientes acciones:</w:t>
            </w:r>
          </w:p>
          <w:p w14:paraId="0DB5C26A" w14:textId="77777777" w:rsidR="00B378B2" w:rsidRPr="00B378B2" w:rsidRDefault="00B378B2" w:rsidP="00B378B2">
            <w:pPr>
              <w:numPr>
                <w:ilvl w:val="0"/>
                <w:numId w:val="1"/>
              </w:numPr>
              <w:spacing w:after="0" w:line="0" w:lineRule="atLeast"/>
              <w:jc w:val="both"/>
              <w:rPr>
                <w:sz w:val="22"/>
                <w:szCs w:val="22"/>
              </w:rPr>
            </w:pPr>
            <w:r w:rsidRPr="00B378B2">
              <w:rPr>
                <w:sz w:val="22"/>
                <w:szCs w:val="22"/>
              </w:rPr>
              <w:t>Entrevista con estudiante agredido, entrevista con estudiante agresor y testigos.</w:t>
            </w:r>
          </w:p>
          <w:p w14:paraId="10F01C6D" w14:textId="77777777" w:rsidR="00B378B2" w:rsidRPr="00B378B2" w:rsidRDefault="00B378B2" w:rsidP="00B378B2">
            <w:pPr>
              <w:numPr>
                <w:ilvl w:val="0"/>
                <w:numId w:val="1"/>
              </w:numPr>
              <w:spacing w:after="0" w:line="0" w:lineRule="atLeast"/>
              <w:jc w:val="both"/>
              <w:rPr>
                <w:sz w:val="22"/>
                <w:szCs w:val="22"/>
              </w:rPr>
            </w:pPr>
            <w:r w:rsidRPr="00B378B2">
              <w:rPr>
                <w:sz w:val="22"/>
                <w:szCs w:val="22"/>
              </w:rPr>
              <w:t>Solicitud de cualquier información que sea pertinente para resolver el hecho denunciado.</w:t>
            </w:r>
          </w:p>
          <w:p w14:paraId="667F32C0" w14:textId="77777777" w:rsidR="00B378B2" w:rsidRPr="00B378B2" w:rsidRDefault="00B378B2" w:rsidP="00B378B2">
            <w:pPr>
              <w:numPr>
                <w:ilvl w:val="0"/>
                <w:numId w:val="1"/>
              </w:numPr>
              <w:spacing w:after="0" w:line="0" w:lineRule="atLeast"/>
              <w:jc w:val="both"/>
              <w:rPr>
                <w:sz w:val="22"/>
                <w:szCs w:val="22"/>
              </w:rPr>
            </w:pPr>
            <w:r w:rsidRPr="00B378B2">
              <w:rPr>
                <w:sz w:val="22"/>
                <w:szCs w:val="22"/>
              </w:rPr>
              <w:t>Activación de medidas de resguardo como apoyo psicosocial y pedagógico, derivaciones a redes externas en caso de ser necesario</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ACF96" w14:textId="77777777" w:rsidR="00B378B2" w:rsidRPr="00B378B2" w:rsidRDefault="00B378B2" w:rsidP="00B378B2">
            <w:pPr>
              <w:spacing w:after="0" w:line="0" w:lineRule="atLeast"/>
              <w:jc w:val="both"/>
              <w:rPr>
                <w:sz w:val="22"/>
                <w:szCs w:val="22"/>
              </w:rPr>
            </w:pPr>
            <w:r w:rsidRPr="00B378B2">
              <w:rPr>
                <w:sz w:val="22"/>
                <w:szCs w:val="22"/>
              </w:rPr>
              <w:br/>
            </w:r>
          </w:p>
          <w:p w14:paraId="578A6D2E" w14:textId="77777777" w:rsidR="00B378B2" w:rsidRPr="00B378B2" w:rsidRDefault="00B378B2" w:rsidP="00B378B2">
            <w:pPr>
              <w:spacing w:after="0" w:line="0" w:lineRule="atLeast"/>
              <w:jc w:val="both"/>
              <w:rPr>
                <w:sz w:val="22"/>
                <w:szCs w:val="22"/>
              </w:rPr>
            </w:pPr>
            <w:r w:rsidRPr="00B378B2">
              <w:rPr>
                <w:sz w:val="22"/>
                <w:szCs w:val="22"/>
              </w:rPr>
              <w:t>Encargada de convivencia educativa</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B66AF" w14:textId="77777777" w:rsidR="00B378B2" w:rsidRPr="00B378B2" w:rsidRDefault="00B378B2" w:rsidP="00B378B2">
            <w:pPr>
              <w:spacing w:after="0" w:line="0" w:lineRule="atLeast"/>
              <w:jc w:val="both"/>
              <w:rPr>
                <w:sz w:val="22"/>
                <w:szCs w:val="22"/>
              </w:rPr>
            </w:pPr>
            <w:r w:rsidRPr="00B378B2">
              <w:rPr>
                <w:sz w:val="22"/>
                <w:szCs w:val="22"/>
              </w:rPr>
              <w:br/>
            </w:r>
          </w:p>
          <w:p w14:paraId="22EF33C6" w14:textId="77777777" w:rsidR="00B378B2" w:rsidRPr="00B378B2" w:rsidRDefault="00B378B2" w:rsidP="00B378B2">
            <w:pPr>
              <w:spacing w:after="0" w:line="0" w:lineRule="atLeast"/>
              <w:jc w:val="both"/>
              <w:rPr>
                <w:sz w:val="22"/>
                <w:szCs w:val="22"/>
              </w:rPr>
            </w:pPr>
            <w:r w:rsidRPr="00B378B2">
              <w:rPr>
                <w:sz w:val="22"/>
                <w:szCs w:val="22"/>
              </w:rPr>
              <w:t>10 día hábiles</w:t>
            </w:r>
          </w:p>
        </w:tc>
      </w:tr>
      <w:tr w:rsidR="00B378B2" w:rsidRPr="00B378B2" w14:paraId="07B72231" w14:textId="77777777" w:rsidTr="00B378B2">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A6250" w14:textId="77777777" w:rsidR="00B378B2" w:rsidRPr="00B378B2" w:rsidRDefault="00B378B2" w:rsidP="00B378B2">
            <w:pPr>
              <w:spacing w:after="0" w:line="0" w:lineRule="atLeast"/>
              <w:jc w:val="both"/>
              <w:rPr>
                <w:sz w:val="22"/>
                <w:szCs w:val="22"/>
              </w:rPr>
            </w:pPr>
          </w:p>
          <w:p w14:paraId="015A745A" w14:textId="77777777" w:rsidR="00B378B2" w:rsidRPr="00B378B2" w:rsidRDefault="00B378B2" w:rsidP="00B378B2">
            <w:pPr>
              <w:spacing w:after="0" w:line="0" w:lineRule="atLeast"/>
              <w:jc w:val="both"/>
              <w:rPr>
                <w:sz w:val="22"/>
                <w:szCs w:val="22"/>
              </w:rPr>
            </w:pPr>
            <w:r w:rsidRPr="00B378B2">
              <w:rPr>
                <w:b/>
                <w:bCs/>
                <w:sz w:val="22"/>
                <w:szCs w:val="22"/>
              </w:rPr>
              <w:t>Resolución</w:t>
            </w:r>
          </w:p>
        </w:tc>
        <w:tc>
          <w:tcPr>
            <w:tcW w:w="3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E59A5" w14:textId="77777777" w:rsidR="00B378B2" w:rsidRPr="00B378B2" w:rsidRDefault="00B378B2" w:rsidP="00B378B2">
            <w:pPr>
              <w:spacing w:after="0" w:line="0" w:lineRule="atLeast"/>
              <w:jc w:val="both"/>
              <w:rPr>
                <w:sz w:val="22"/>
                <w:szCs w:val="22"/>
              </w:rPr>
            </w:pPr>
            <w:r w:rsidRPr="00B378B2">
              <w:rPr>
                <w:sz w:val="22"/>
                <w:szCs w:val="22"/>
              </w:rPr>
              <w:t>Comunicación de la resolución de protocolo a las partes involucradas, alumnos y apoderados (entrevista presencial), con medidas disciplinarias formativas y reparatorias según corresponda según indica el reglamento interno</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1C438" w14:textId="77777777" w:rsidR="00B378B2" w:rsidRPr="00B378B2" w:rsidRDefault="00B378B2" w:rsidP="00B378B2">
            <w:pPr>
              <w:spacing w:after="0" w:line="0" w:lineRule="atLeast"/>
              <w:jc w:val="both"/>
              <w:rPr>
                <w:sz w:val="22"/>
                <w:szCs w:val="22"/>
              </w:rPr>
            </w:pPr>
            <w:r w:rsidRPr="00B378B2">
              <w:rPr>
                <w:sz w:val="22"/>
                <w:szCs w:val="22"/>
              </w:rPr>
              <w:t>     </w:t>
            </w:r>
          </w:p>
          <w:p w14:paraId="7F415CEF" w14:textId="77777777" w:rsidR="00B378B2" w:rsidRPr="00B378B2" w:rsidRDefault="00B378B2" w:rsidP="00B378B2">
            <w:pPr>
              <w:spacing w:after="0" w:line="0" w:lineRule="atLeast"/>
              <w:jc w:val="both"/>
              <w:rPr>
                <w:sz w:val="22"/>
                <w:szCs w:val="22"/>
              </w:rPr>
            </w:pPr>
            <w:r w:rsidRPr="00B378B2">
              <w:rPr>
                <w:sz w:val="22"/>
                <w:szCs w:val="22"/>
              </w:rPr>
              <w:t> Encargada de convivencia educativa</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72D72" w14:textId="77777777" w:rsidR="00B378B2" w:rsidRPr="00B378B2" w:rsidRDefault="00B378B2" w:rsidP="00B378B2">
            <w:pPr>
              <w:spacing w:after="0" w:line="0" w:lineRule="atLeast"/>
              <w:jc w:val="both"/>
              <w:rPr>
                <w:sz w:val="22"/>
                <w:szCs w:val="22"/>
              </w:rPr>
            </w:pPr>
            <w:r w:rsidRPr="00B378B2">
              <w:rPr>
                <w:sz w:val="22"/>
                <w:szCs w:val="22"/>
              </w:rPr>
              <w:t>Día hábil luego de la resolución</w:t>
            </w:r>
          </w:p>
        </w:tc>
      </w:tr>
      <w:tr w:rsidR="00B378B2" w:rsidRPr="00B378B2" w14:paraId="12870C02" w14:textId="77777777" w:rsidTr="00B378B2">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778FC" w14:textId="77777777" w:rsidR="00B378B2" w:rsidRPr="00B378B2" w:rsidRDefault="00B378B2" w:rsidP="00B378B2">
            <w:pPr>
              <w:spacing w:after="0" w:line="0" w:lineRule="atLeast"/>
              <w:jc w:val="both"/>
              <w:rPr>
                <w:sz w:val="22"/>
                <w:szCs w:val="22"/>
              </w:rPr>
            </w:pPr>
          </w:p>
          <w:p w14:paraId="0ED92475" w14:textId="77777777" w:rsidR="00B378B2" w:rsidRPr="00B378B2" w:rsidRDefault="00B378B2" w:rsidP="00B378B2">
            <w:pPr>
              <w:spacing w:after="0" w:line="0" w:lineRule="atLeast"/>
              <w:jc w:val="both"/>
              <w:rPr>
                <w:sz w:val="22"/>
                <w:szCs w:val="22"/>
              </w:rPr>
            </w:pPr>
            <w:r w:rsidRPr="00B378B2">
              <w:rPr>
                <w:b/>
                <w:bCs/>
                <w:sz w:val="22"/>
                <w:szCs w:val="22"/>
              </w:rPr>
              <w:t>Mediación</w:t>
            </w:r>
          </w:p>
        </w:tc>
        <w:tc>
          <w:tcPr>
            <w:tcW w:w="3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845DD" w14:textId="77777777" w:rsidR="00B378B2" w:rsidRPr="00B378B2" w:rsidRDefault="00B378B2" w:rsidP="00B378B2">
            <w:pPr>
              <w:spacing w:after="0" w:line="0" w:lineRule="atLeast"/>
              <w:jc w:val="both"/>
              <w:rPr>
                <w:sz w:val="22"/>
                <w:szCs w:val="22"/>
              </w:rPr>
            </w:pPr>
          </w:p>
          <w:p w14:paraId="447D1351" w14:textId="77777777" w:rsidR="00B378B2" w:rsidRPr="00B378B2" w:rsidRDefault="00B378B2" w:rsidP="00B378B2">
            <w:pPr>
              <w:spacing w:after="0" w:line="0" w:lineRule="atLeast"/>
              <w:jc w:val="both"/>
              <w:rPr>
                <w:sz w:val="22"/>
                <w:szCs w:val="22"/>
              </w:rPr>
            </w:pPr>
            <w:r w:rsidRPr="00B378B2">
              <w:rPr>
                <w:sz w:val="22"/>
                <w:szCs w:val="22"/>
              </w:rPr>
              <w:t>Se realizará una mediación entre ambas partes</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AD0B6" w14:textId="77777777" w:rsidR="00B378B2" w:rsidRPr="00B378B2" w:rsidRDefault="00B378B2" w:rsidP="00B378B2">
            <w:pPr>
              <w:spacing w:after="0" w:line="0" w:lineRule="atLeast"/>
              <w:jc w:val="both"/>
              <w:rPr>
                <w:sz w:val="22"/>
                <w:szCs w:val="22"/>
              </w:rPr>
            </w:pPr>
          </w:p>
          <w:p w14:paraId="70059820" w14:textId="77777777" w:rsidR="00B378B2" w:rsidRPr="00B378B2" w:rsidRDefault="00B378B2" w:rsidP="00B378B2">
            <w:pPr>
              <w:spacing w:after="0" w:line="0" w:lineRule="atLeast"/>
              <w:jc w:val="both"/>
              <w:rPr>
                <w:sz w:val="22"/>
                <w:szCs w:val="22"/>
              </w:rPr>
            </w:pPr>
            <w:r w:rsidRPr="00B378B2">
              <w:rPr>
                <w:sz w:val="22"/>
                <w:szCs w:val="22"/>
              </w:rPr>
              <w:t>Encargada de convivencia educativa</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A04CE" w14:textId="77777777" w:rsidR="00B378B2" w:rsidRPr="00B378B2" w:rsidRDefault="00B378B2" w:rsidP="00B378B2">
            <w:pPr>
              <w:spacing w:after="0" w:line="0" w:lineRule="atLeast"/>
              <w:jc w:val="both"/>
              <w:rPr>
                <w:sz w:val="22"/>
                <w:szCs w:val="22"/>
              </w:rPr>
            </w:pPr>
            <w:r w:rsidRPr="00B378B2">
              <w:rPr>
                <w:sz w:val="22"/>
                <w:szCs w:val="22"/>
              </w:rPr>
              <w:t>Día hábil luego de la resolución</w:t>
            </w:r>
          </w:p>
        </w:tc>
      </w:tr>
      <w:tr w:rsidR="00B378B2" w:rsidRPr="00B378B2" w14:paraId="7C3A4926" w14:textId="77777777" w:rsidTr="00B378B2">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472E7" w14:textId="77777777" w:rsidR="00B378B2" w:rsidRPr="00B378B2" w:rsidRDefault="00B378B2" w:rsidP="00B378B2">
            <w:pPr>
              <w:spacing w:after="0" w:line="0" w:lineRule="atLeast"/>
              <w:jc w:val="both"/>
              <w:rPr>
                <w:sz w:val="22"/>
                <w:szCs w:val="22"/>
              </w:rPr>
            </w:pPr>
          </w:p>
          <w:p w14:paraId="14190161" w14:textId="77777777" w:rsidR="00B378B2" w:rsidRPr="00B378B2" w:rsidRDefault="00B378B2" w:rsidP="00B378B2">
            <w:pPr>
              <w:spacing w:after="0" w:line="0" w:lineRule="atLeast"/>
              <w:jc w:val="both"/>
              <w:rPr>
                <w:sz w:val="22"/>
                <w:szCs w:val="22"/>
              </w:rPr>
            </w:pPr>
            <w:r w:rsidRPr="00B378B2">
              <w:rPr>
                <w:b/>
                <w:bCs/>
                <w:sz w:val="22"/>
                <w:szCs w:val="22"/>
              </w:rPr>
              <w:t>Seguimiento</w:t>
            </w:r>
          </w:p>
        </w:tc>
        <w:tc>
          <w:tcPr>
            <w:tcW w:w="3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6AA93" w14:textId="77777777" w:rsidR="00B378B2" w:rsidRPr="00B378B2" w:rsidRDefault="00B378B2" w:rsidP="00B378B2">
            <w:pPr>
              <w:spacing w:after="0" w:line="0" w:lineRule="atLeast"/>
              <w:jc w:val="both"/>
              <w:rPr>
                <w:sz w:val="22"/>
                <w:szCs w:val="22"/>
              </w:rPr>
            </w:pPr>
            <w:r w:rsidRPr="00B378B2">
              <w:rPr>
                <w:sz w:val="22"/>
                <w:szCs w:val="22"/>
              </w:rPr>
              <w:t>Monitoreo de la situación y efectividad de la aplicación de medidas acordadas y comunicación a los apoderados de los estudiantes afectados.</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A960D" w14:textId="77777777" w:rsidR="00B378B2" w:rsidRPr="00B378B2" w:rsidRDefault="00B378B2" w:rsidP="00B378B2">
            <w:pPr>
              <w:spacing w:after="0" w:line="0" w:lineRule="atLeast"/>
              <w:jc w:val="both"/>
              <w:rPr>
                <w:sz w:val="22"/>
                <w:szCs w:val="22"/>
              </w:rPr>
            </w:pPr>
          </w:p>
          <w:p w14:paraId="45BB69F5" w14:textId="77777777" w:rsidR="00B378B2" w:rsidRPr="00B378B2" w:rsidRDefault="00B378B2" w:rsidP="00B378B2">
            <w:pPr>
              <w:spacing w:after="0" w:line="0" w:lineRule="atLeast"/>
              <w:jc w:val="both"/>
              <w:rPr>
                <w:sz w:val="22"/>
                <w:szCs w:val="22"/>
              </w:rPr>
            </w:pPr>
            <w:r w:rsidRPr="00B378B2">
              <w:rPr>
                <w:sz w:val="22"/>
                <w:szCs w:val="22"/>
              </w:rPr>
              <w:t>Profesor jefe</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CB1F2" w14:textId="77777777" w:rsidR="00B378B2" w:rsidRPr="00B378B2" w:rsidRDefault="00B378B2" w:rsidP="00B378B2">
            <w:pPr>
              <w:spacing w:after="0" w:line="0" w:lineRule="atLeast"/>
              <w:jc w:val="both"/>
              <w:rPr>
                <w:sz w:val="22"/>
                <w:szCs w:val="22"/>
              </w:rPr>
            </w:pPr>
          </w:p>
          <w:p w14:paraId="4AA377DD" w14:textId="77777777" w:rsidR="00B378B2" w:rsidRPr="00B378B2" w:rsidRDefault="00B378B2" w:rsidP="00B378B2">
            <w:pPr>
              <w:spacing w:after="0" w:line="0" w:lineRule="atLeast"/>
              <w:jc w:val="both"/>
              <w:rPr>
                <w:sz w:val="22"/>
                <w:szCs w:val="22"/>
              </w:rPr>
            </w:pPr>
            <w:r w:rsidRPr="00B378B2">
              <w:rPr>
                <w:sz w:val="22"/>
                <w:szCs w:val="22"/>
              </w:rPr>
              <w:t>Reporte cada dos semanas</w:t>
            </w:r>
          </w:p>
        </w:tc>
      </w:tr>
      <w:tr w:rsidR="00B378B2" w:rsidRPr="00B378B2" w14:paraId="0080B3C9" w14:textId="77777777" w:rsidTr="00B378B2">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53E46" w14:textId="77777777" w:rsidR="00B378B2" w:rsidRPr="00B378B2" w:rsidRDefault="00B378B2" w:rsidP="00B378B2">
            <w:pPr>
              <w:spacing w:after="0" w:line="0" w:lineRule="atLeast"/>
              <w:jc w:val="both"/>
              <w:rPr>
                <w:sz w:val="22"/>
                <w:szCs w:val="22"/>
              </w:rPr>
            </w:pPr>
            <w:r w:rsidRPr="00B378B2">
              <w:rPr>
                <w:b/>
                <w:bCs/>
                <w:sz w:val="22"/>
                <w:szCs w:val="22"/>
              </w:rPr>
              <w:t>Cierre</w:t>
            </w:r>
          </w:p>
        </w:tc>
        <w:tc>
          <w:tcPr>
            <w:tcW w:w="3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2ECDB" w14:textId="77777777" w:rsidR="00B378B2" w:rsidRPr="00B378B2" w:rsidRDefault="00B378B2" w:rsidP="00B378B2">
            <w:pPr>
              <w:spacing w:after="0" w:line="0" w:lineRule="atLeast"/>
              <w:jc w:val="both"/>
              <w:rPr>
                <w:sz w:val="22"/>
                <w:szCs w:val="22"/>
              </w:rPr>
            </w:pPr>
            <w:r w:rsidRPr="00B378B2">
              <w:rPr>
                <w:sz w:val="22"/>
                <w:szCs w:val="22"/>
              </w:rPr>
              <w:t>Entrevista con los padres de los estudiantes involucrados para evaluar la efectividad de las medidas implementadas. Informe final</w:t>
            </w:r>
          </w:p>
          <w:p w14:paraId="284556D7" w14:textId="77777777" w:rsidR="00B378B2" w:rsidRPr="00B378B2" w:rsidRDefault="00B378B2" w:rsidP="00B378B2">
            <w:pPr>
              <w:spacing w:after="0" w:line="0" w:lineRule="atLeast"/>
              <w:jc w:val="both"/>
              <w:rPr>
                <w:sz w:val="22"/>
                <w:szCs w:val="22"/>
              </w:rPr>
            </w:pPr>
            <w:r w:rsidRPr="00B378B2">
              <w:rPr>
                <w:sz w:val="22"/>
                <w:szCs w:val="22"/>
              </w:rPr>
              <w:t>Archivo de la carpeta</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14250" w14:textId="77777777" w:rsidR="00B378B2" w:rsidRPr="00B378B2" w:rsidRDefault="00B378B2" w:rsidP="00B378B2">
            <w:pPr>
              <w:spacing w:after="0" w:line="0" w:lineRule="atLeast"/>
              <w:jc w:val="both"/>
              <w:rPr>
                <w:sz w:val="22"/>
                <w:szCs w:val="22"/>
              </w:rPr>
            </w:pPr>
            <w:r w:rsidRPr="00B378B2">
              <w:rPr>
                <w:sz w:val="22"/>
                <w:szCs w:val="22"/>
              </w:rPr>
              <w:t>Encargada de convivencia escolar/psicólogo del ciclo</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9A020" w14:textId="77777777" w:rsidR="00B378B2" w:rsidRPr="00B378B2" w:rsidRDefault="00B378B2" w:rsidP="00B378B2">
            <w:pPr>
              <w:spacing w:after="0" w:line="0" w:lineRule="atLeast"/>
              <w:jc w:val="both"/>
              <w:rPr>
                <w:sz w:val="22"/>
                <w:szCs w:val="22"/>
              </w:rPr>
            </w:pPr>
            <w:r w:rsidRPr="00B378B2">
              <w:rPr>
                <w:sz w:val="22"/>
                <w:szCs w:val="22"/>
              </w:rPr>
              <w:t>30 a 60 días</w:t>
            </w:r>
          </w:p>
        </w:tc>
      </w:tr>
    </w:tbl>
    <w:p w14:paraId="647DD66C" w14:textId="77777777" w:rsidR="00B378B2" w:rsidRPr="00B378B2" w:rsidRDefault="00B378B2" w:rsidP="00B378B2">
      <w:pPr>
        <w:spacing w:line="240" w:lineRule="auto"/>
        <w:jc w:val="both"/>
      </w:pPr>
    </w:p>
    <w:p w14:paraId="4A97D41D" w14:textId="77777777" w:rsidR="00B378B2" w:rsidRPr="00B378B2" w:rsidRDefault="00B378B2" w:rsidP="00B378B2">
      <w:pPr>
        <w:spacing w:line="240" w:lineRule="auto"/>
        <w:jc w:val="both"/>
      </w:pPr>
      <w:r w:rsidRPr="00B378B2">
        <w:t>El protocolo establecido para abordar el maltrato escolar entre pares refleja un compromiso integral de la comunidad educativa para prevenir, detectar y gestionar situaciones de violencia escolar, asegurando el respeto a los derechos de los estudiantes y promoviendo un entorno seguro y saludable.</w:t>
      </w:r>
    </w:p>
    <w:p w14:paraId="3DB12A89" w14:textId="77777777" w:rsidR="00B378B2" w:rsidRPr="00B378B2" w:rsidRDefault="00B378B2" w:rsidP="00B378B2">
      <w:pPr>
        <w:spacing w:line="240" w:lineRule="auto"/>
        <w:jc w:val="both"/>
      </w:pPr>
      <w:r w:rsidRPr="00B378B2">
        <w:t xml:space="preserve">A través de procedimientos claros, que incluyen la activación inmediata de medidas de resguardo, una investigación rigurosa y un enfoque en la contención emocional, el protocolo busca proteger tanto al estudiante afectado como al agresor, fomentando medidas disciplinarias que sean formativas y reparatorias. El seguimiento constante y </w:t>
      </w:r>
      <w:r w:rsidRPr="00B378B2">
        <w:lastRenderedPageBreak/>
        <w:t>la mediación refuerzan el compromiso con la convivencia escolar armónica, mientras que la participación de los apoderados asegura una intervención coordinada y efectiva.</w:t>
      </w:r>
    </w:p>
    <w:p w14:paraId="50B9A6FB" w14:textId="77777777" w:rsidR="00B378B2" w:rsidRPr="00B378B2" w:rsidRDefault="00B378B2" w:rsidP="00B378B2">
      <w:pPr>
        <w:spacing w:line="240" w:lineRule="auto"/>
        <w:jc w:val="both"/>
      </w:pPr>
    </w:p>
    <w:p w14:paraId="7D47C385" w14:textId="77777777" w:rsidR="00B378B2" w:rsidRPr="00B378B2" w:rsidRDefault="00B378B2" w:rsidP="00B378B2">
      <w:pPr>
        <w:spacing w:line="240" w:lineRule="auto"/>
        <w:jc w:val="both"/>
      </w:pPr>
      <w:r w:rsidRPr="00B378B2">
        <w:t>En línea con las normativas vigentes, como la Ley General de Educación (LGE), la Ley Zamudio y los principios de la Convención sobre los Derechos del Niño, este protocolo destaca la importancia de actuar con prontitud y firmeza frente al maltrato, promoviendo el desarrollo integral de los estudiantes y garantizando que los establecimientos educativos sean espacios libres de violencia y discriminación.</w:t>
      </w:r>
    </w:p>
    <w:p w14:paraId="49DE340A" w14:textId="4524CB70" w:rsidR="00820F28" w:rsidRDefault="00B378B2" w:rsidP="00B378B2">
      <w:pPr>
        <w:spacing w:line="240" w:lineRule="auto"/>
        <w:jc w:val="both"/>
      </w:pPr>
      <w:r w:rsidRPr="00B378B2">
        <w:br/>
      </w:r>
      <w:r w:rsidRPr="00B378B2">
        <w:br/>
      </w:r>
      <w:r w:rsidRPr="00B378B2">
        <w:br/>
      </w:r>
      <w:r w:rsidRPr="00B378B2">
        <w:br/>
      </w:r>
    </w:p>
    <w:sectPr w:rsidR="00820F2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D438F" w14:textId="77777777" w:rsidR="00820F28" w:rsidRDefault="00820F28" w:rsidP="00820F28">
      <w:pPr>
        <w:spacing w:after="0" w:line="240" w:lineRule="auto"/>
      </w:pPr>
      <w:r>
        <w:separator/>
      </w:r>
    </w:p>
  </w:endnote>
  <w:endnote w:type="continuationSeparator" w:id="0">
    <w:p w14:paraId="073957CC" w14:textId="77777777" w:rsidR="00820F28" w:rsidRDefault="00820F28" w:rsidP="0082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1F079" w14:textId="77777777" w:rsidR="00820F28" w:rsidRDefault="00820F28" w:rsidP="00820F28">
      <w:pPr>
        <w:spacing w:after="0" w:line="240" w:lineRule="auto"/>
      </w:pPr>
      <w:r>
        <w:separator/>
      </w:r>
    </w:p>
  </w:footnote>
  <w:footnote w:type="continuationSeparator" w:id="0">
    <w:p w14:paraId="16AFC238" w14:textId="77777777" w:rsidR="00820F28" w:rsidRDefault="00820F28" w:rsidP="00820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365F" w14:textId="77777777" w:rsidR="00820F28" w:rsidRPr="00242B94" w:rsidRDefault="00820F28" w:rsidP="00820F28">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3D5EA082" wp14:editId="72407AAF">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2EAF7526" wp14:editId="1C2E0A19">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1041B7CD" w14:textId="77777777" w:rsidR="00820F28" w:rsidRPr="00242B94" w:rsidRDefault="00820F28" w:rsidP="00820F28">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5979550E" w14:textId="14D0BBEF" w:rsidR="00820F28" w:rsidRPr="00820F28" w:rsidRDefault="00820F28" w:rsidP="00820F28">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D42C9"/>
    <w:multiLevelType w:val="multilevel"/>
    <w:tmpl w:val="A096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44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28"/>
    <w:rsid w:val="00820F28"/>
    <w:rsid w:val="00B378B2"/>
    <w:rsid w:val="00EA6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B8E1"/>
  <w15:chartTrackingRefBased/>
  <w15:docId w15:val="{B6DB5688-A123-43E5-9696-90D25495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0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0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0F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0F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0F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0F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0F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0F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0F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0F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0F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0F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0F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0F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0F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0F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0F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0F28"/>
    <w:rPr>
      <w:rFonts w:eastAsiaTheme="majorEastAsia" w:cstheme="majorBidi"/>
      <w:color w:val="272727" w:themeColor="text1" w:themeTint="D8"/>
    </w:rPr>
  </w:style>
  <w:style w:type="paragraph" w:styleId="Ttulo">
    <w:name w:val="Title"/>
    <w:basedOn w:val="Normal"/>
    <w:next w:val="Normal"/>
    <w:link w:val="TtuloCar"/>
    <w:uiPriority w:val="10"/>
    <w:qFormat/>
    <w:rsid w:val="00820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0F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0F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0F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0F28"/>
    <w:pPr>
      <w:spacing w:before="160"/>
      <w:jc w:val="center"/>
    </w:pPr>
    <w:rPr>
      <w:i/>
      <w:iCs/>
      <w:color w:val="404040" w:themeColor="text1" w:themeTint="BF"/>
    </w:rPr>
  </w:style>
  <w:style w:type="character" w:customStyle="1" w:styleId="CitaCar">
    <w:name w:val="Cita Car"/>
    <w:basedOn w:val="Fuentedeprrafopredeter"/>
    <w:link w:val="Cita"/>
    <w:uiPriority w:val="29"/>
    <w:rsid w:val="00820F28"/>
    <w:rPr>
      <w:i/>
      <w:iCs/>
      <w:color w:val="404040" w:themeColor="text1" w:themeTint="BF"/>
    </w:rPr>
  </w:style>
  <w:style w:type="paragraph" w:styleId="Prrafodelista">
    <w:name w:val="List Paragraph"/>
    <w:basedOn w:val="Normal"/>
    <w:uiPriority w:val="34"/>
    <w:qFormat/>
    <w:rsid w:val="00820F28"/>
    <w:pPr>
      <w:ind w:left="720"/>
      <w:contextualSpacing/>
    </w:pPr>
  </w:style>
  <w:style w:type="character" w:styleId="nfasisintenso">
    <w:name w:val="Intense Emphasis"/>
    <w:basedOn w:val="Fuentedeprrafopredeter"/>
    <w:uiPriority w:val="21"/>
    <w:qFormat/>
    <w:rsid w:val="00820F28"/>
    <w:rPr>
      <w:i/>
      <w:iCs/>
      <w:color w:val="0F4761" w:themeColor="accent1" w:themeShade="BF"/>
    </w:rPr>
  </w:style>
  <w:style w:type="paragraph" w:styleId="Citadestacada">
    <w:name w:val="Intense Quote"/>
    <w:basedOn w:val="Normal"/>
    <w:next w:val="Normal"/>
    <w:link w:val="CitadestacadaCar"/>
    <w:uiPriority w:val="30"/>
    <w:qFormat/>
    <w:rsid w:val="00820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0F28"/>
    <w:rPr>
      <w:i/>
      <w:iCs/>
      <w:color w:val="0F4761" w:themeColor="accent1" w:themeShade="BF"/>
    </w:rPr>
  </w:style>
  <w:style w:type="character" w:styleId="Referenciaintensa">
    <w:name w:val="Intense Reference"/>
    <w:basedOn w:val="Fuentedeprrafopredeter"/>
    <w:uiPriority w:val="32"/>
    <w:qFormat/>
    <w:rsid w:val="00820F28"/>
    <w:rPr>
      <w:b/>
      <w:bCs/>
      <w:smallCaps/>
      <w:color w:val="0F4761" w:themeColor="accent1" w:themeShade="BF"/>
      <w:spacing w:val="5"/>
    </w:rPr>
  </w:style>
  <w:style w:type="paragraph" w:styleId="Encabezado">
    <w:name w:val="header"/>
    <w:basedOn w:val="Normal"/>
    <w:link w:val="EncabezadoCar"/>
    <w:uiPriority w:val="99"/>
    <w:unhideWhenUsed/>
    <w:rsid w:val="00820F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F28"/>
  </w:style>
  <w:style w:type="paragraph" w:styleId="Piedepgina">
    <w:name w:val="footer"/>
    <w:basedOn w:val="Normal"/>
    <w:link w:val="PiedepginaCar"/>
    <w:uiPriority w:val="99"/>
    <w:unhideWhenUsed/>
    <w:rsid w:val="00820F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791823">
      <w:bodyDiv w:val="1"/>
      <w:marLeft w:val="0"/>
      <w:marRight w:val="0"/>
      <w:marTop w:val="0"/>
      <w:marBottom w:val="0"/>
      <w:divBdr>
        <w:top w:val="none" w:sz="0" w:space="0" w:color="auto"/>
        <w:left w:val="none" w:sz="0" w:space="0" w:color="auto"/>
        <w:bottom w:val="none" w:sz="0" w:space="0" w:color="auto"/>
        <w:right w:val="none" w:sz="0" w:space="0" w:color="auto"/>
      </w:divBdr>
      <w:divsChild>
        <w:div w:id="2063285705">
          <w:marLeft w:val="-289"/>
          <w:marRight w:val="0"/>
          <w:marTop w:val="0"/>
          <w:marBottom w:val="0"/>
          <w:divBdr>
            <w:top w:val="none" w:sz="0" w:space="0" w:color="auto"/>
            <w:left w:val="none" w:sz="0" w:space="0" w:color="auto"/>
            <w:bottom w:val="none" w:sz="0" w:space="0" w:color="auto"/>
            <w:right w:val="none" w:sz="0" w:space="0" w:color="auto"/>
          </w:divBdr>
        </w:div>
      </w:divsChild>
    </w:div>
    <w:div w:id="1932662893">
      <w:bodyDiv w:val="1"/>
      <w:marLeft w:val="0"/>
      <w:marRight w:val="0"/>
      <w:marTop w:val="0"/>
      <w:marBottom w:val="0"/>
      <w:divBdr>
        <w:top w:val="none" w:sz="0" w:space="0" w:color="auto"/>
        <w:left w:val="none" w:sz="0" w:space="0" w:color="auto"/>
        <w:bottom w:val="none" w:sz="0" w:space="0" w:color="auto"/>
        <w:right w:val="none" w:sz="0" w:space="0" w:color="auto"/>
      </w:divBdr>
      <w:divsChild>
        <w:div w:id="973414862">
          <w:marLeft w:val="-28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726</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2025-03-29T23:26:00Z</dcterms:created>
  <dcterms:modified xsi:type="dcterms:W3CDTF">2025-03-30T02:07:00Z</dcterms:modified>
</cp:coreProperties>
</file>